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C0" w:rsidRDefault="006F5FC0">
      <w:pPr>
        <w:pStyle w:val="a9"/>
        <w:jc w:val="right"/>
      </w:pPr>
      <w:bookmarkStart w:id="0" w:name="_GoBack"/>
      <w:bookmarkEnd w:id="0"/>
    </w:p>
    <w:p w:rsidR="006F5FC0" w:rsidRDefault="007B163E">
      <w:pPr>
        <w:pStyle w:val="a9"/>
        <w:spacing w:line="288" w:lineRule="auto"/>
        <w:jc w:val="center"/>
      </w:pPr>
      <w:r>
        <w:rPr>
          <w:b/>
          <w:bCs/>
        </w:rPr>
        <w:t>Детерминанты внутренней миграции населения в современной России</w:t>
      </w:r>
    </w:p>
    <w:p w:rsidR="006F5FC0" w:rsidRDefault="007B163E">
      <w:pPr>
        <w:pStyle w:val="a9"/>
        <w:spacing w:line="288" w:lineRule="auto"/>
        <w:jc w:val="center"/>
      </w:pPr>
      <w:r>
        <w:t>Андреев И. И.</w:t>
      </w:r>
      <w:r>
        <w:rPr>
          <w:vertAlign w:val="superscript"/>
        </w:rPr>
        <w:t>1,2</w:t>
      </w:r>
    </w:p>
    <w:p w:rsidR="006F5FC0" w:rsidRDefault="007B163E">
      <w:pPr>
        <w:pStyle w:val="a9"/>
        <w:spacing w:line="288" w:lineRule="auto"/>
        <w:jc w:val="center"/>
      </w:pPr>
      <w:r>
        <w:rPr>
          <w:vertAlign w:val="superscript"/>
        </w:rPr>
        <w:t>1</w:t>
      </w:r>
      <w:r>
        <w:t>Институт космофизических исследований и аэрономии им. Ю. Г. Шафера, г. Якутск</w:t>
      </w:r>
    </w:p>
    <w:p w:rsidR="006F5FC0" w:rsidRDefault="007B163E">
      <w:pPr>
        <w:pStyle w:val="a9"/>
        <w:spacing w:line="288" w:lineRule="auto"/>
        <w:jc w:val="center"/>
      </w:pPr>
      <w:r>
        <w:rPr>
          <w:vertAlign w:val="superscript"/>
        </w:rPr>
        <w:t>2</w:t>
      </w:r>
      <w:r>
        <w:t>Северо-восточный федеральный уни</w:t>
      </w:r>
      <w:r>
        <w:t xml:space="preserve">верситет им. М.К </w:t>
      </w:r>
      <w:proofErr w:type="spellStart"/>
      <w:r>
        <w:t>Аммосова</w:t>
      </w:r>
      <w:proofErr w:type="spellEnd"/>
      <w:r>
        <w:t>, г. Якутск</w:t>
      </w:r>
    </w:p>
    <w:p w:rsidR="006F5FC0" w:rsidRDefault="007B163E">
      <w:pPr>
        <w:pStyle w:val="a9"/>
        <w:spacing w:line="288" w:lineRule="auto"/>
        <w:jc w:val="center"/>
        <w:rPr>
          <w:i/>
          <w:iCs/>
        </w:rPr>
      </w:pPr>
      <w:r>
        <w:rPr>
          <w:i/>
          <w:iCs/>
          <w:lang w:val="en-US"/>
        </w:rPr>
        <w:t>E</w:t>
      </w:r>
      <w:r>
        <w:rPr>
          <w:i/>
          <w:iCs/>
        </w:rPr>
        <w:t>–</w:t>
      </w:r>
      <w:r>
        <w:rPr>
          <w:i/>
          <w:iCs/>
          <w:lang w:val="en-US"/>
        </w:rPr>
        <w:t>mail</w:t>
      </w:r>
      <w:r>
        <w:rPr>
          <w:i/>
          <w:iCs/>
        </w:rPr>
        <w:t xml:space="preserve">: </w:t>
      </w:r>
      <w:proofErr w:type="spellStart"/>
      <w:r>
        <w:rPr>
          <w:i/>
          <w:iCs/>
          <w:lang w:val="en-US"/>
        </w:rPr>
        <w:t>ivanov</w:t>
      </w:r>
      <w:proofErr w:type="spellEnd"/>
      <w:r>
        <w:rPr>
          <w:i/>
          <w:iCs/>
        </w:rPr>
        <w:t>@</w:t>
      </w:r>
      <w:proofErr w:type="spellStart"/>
      <w:r>
        <w:rPr>
          <w:i/>
          <w:iCs/>
          <w:lang w:val="en-US"/>
        </w:rPr>
        <w:t>yandex</w:t>
      </w:r>
      <w:proofErr w:type="spellEnd"/>
      <w:r>
        <w:rPr>
          <w:i/>
          <w:iCs/>
        </w:rPr>
        <w:t>.</w:t>
      </w:r>
      <w:proofErr w:type="spellStart"/>
      <w:r>
        <w:rPr>
          <w:i/>
          <w:iCs/>
          <w:lang w:val="en-US"/>
        </w:rPr>
        <w:t>ru</w:t>
      </w:r>
      <w:proofErr w:type="spellEnd"/>
    </w:p>
    <w:p w:rsidR="006F5FC0" w:rsidRDefault="006F5FC0">
      <w:pPr>
        <w:pStyle w:val="a9"/>
        <w:spacing w:line="288" w:lineRule="auto"/>
        <w:jc w:val="center"/>
      </w:pPr>
    </w:p>
    <w:p w:rsidR="006F5FC0" w:rsidRDefault="007B163E">
      <w:pPr>
        <w:pStyle w:val="a9"/>
        <w:ind w:firstLine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В современной России уровень внутренней миграционной подвижности населения является чрезвычайно низким. Так, если среднестатистический житель США меняет место жительства в течение своей жизни п</w:t>
      </w:r>
      <w:r>
        <w:rPr>
          <w:i/>
          <w:iCs/>
          <w:sz w:val="20"/>
          <w:szCs w:val="20"/>
        </w:rPr>
        <w:t>римерно 13 раз, то среднестатистический гражданин России – чуть более 1,5 раз. В отличие от экономически развитых стран, в которых внутренняя миграция выступает в роли основного механизма перераспределения населения между регионами страны в ответ на измене</w:t>
      </w:r>
      <w:r>
        <w:rPr>
          <w:i/>
          <w:iCs/>
          <w:sz w:val="20"/>
          <w:szCs w:val="20"/>
        </w:rPr>
        <w:t>ние политических, социально-экономических и демографических и др. условий жизни в них, в России в настоящее время внутренняя миграция не является реальным фактором выравнивания межрегиональной дифференциации уровней социально-экономического развития.</w:t>
      </w:r>
    </w:p>
    <w:p w:rsidR="006F5FC0" w:rsidRDefault="007B163E">
      <w:pPr>
        <w:pStyle w:val="a9"/>
        <w:ind w:firstLine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Ключе</w:t>
      </w:r>
      <w:r>
        <w:rPr>
          <w:i/>
          <w:iCs/>
          <w:sz w:val="20"/>
          <w:szCs w:val="20"/>
        </w:rPr>
        <w:t xml:space="preserve">вые слова: </w:t>
      </w:r>
      <w:r>
        <w:rPr>
          <w:sz w:val="20"/>
          <w:szCs w:val="20"/>
        </w:rPr>
        <w:t>миграция, внутренняя миграция, подвижность населения, Россия, механизм перераспределения.</w:t>
      </w:r>
    </w:p>
    <w:p w:rsidR="006F5FC0" w:rsidRDefault="006F5FC0">
      <w:pPr>
        <w:pStyle w:val="a9"/>
        <w:spacing w:line="288" w:lineRule="auto"/>
        <w:ind w:firstLine="567"/>
      </w:pPr>
    </w:p>
    <w:p w:rsidR="006F5FC0" w:rsidRDefault="007B163E">
      <w:pPr>
        <w:pStyle w:val="a9"/>
        <w:spacing w:line="288" w:lineRule="auto"/>
        <w:ind w:firstLine="567"/>
      </w:pPr>
      <w:r>
        <w:t>В современной России уровень внутренней миграционной подвижности населения является чрезвычайно низким [</w:t>
      </w:r>
      <w:proofErr w:type="spellStart"/>
      <w:r>
        <w:rPr>
          <w:lang w:val="en-US"/>
        </w:rPr>
        <w:t>Cadwallader</w:t>
      </w:r>
      <w:proofErr w:type="spellEnd"/>
      <w:r>
        <w:t>, 1992]. Так, если среднестатистический</w:t>
      </w:r>
      <w:r>
        <w:t xml:space="preserve"> житель США меняет место жительства в течение своей жизни примерно 13 раз, то среднестатистический гражданин России – чуть более 1,5 раз [</w:t>
      </w:r>
      <w:proofErr w:type="spellStart"/>
      <w:r>
        <w:rPr>
          <w:color w:val="000000"/>
          <w:lang w:val="en-US" w:eastAsia="ru-RU"/>
        </w:rPr>
        <w:t>Pandit</w:t>
      </w:r>
      <w:proofErr w:type="spellEnd"/>
      <w:r>
        <w:rPr>
          <w:color w:val="000000"/>
          <w:lang w:eastAsia="ru-RU"/>
        </w:rPr>
        <w:t>, 1997</w:t>
      </w:r>
      <w:r>
        <w:t xml:space="preserve">; Алешковский, 2007]. В отличие от экономически развитых стран, в которых внутренняя миграция выступает в </w:t>
      </w:r>
      <w:r>
        <w:t>роли основного механизма перераспределения населения между регионами страны в ответ на изменение политических, социально-экономических и демографических и др. условий жизни в них, в России в настоящее время внутренняя миграция не является реальным фактором</w:t>
      </w:r>
      <w:r>
        <w:t xml:space="preserve"> выравнивания межрегиональной дифференциации уровней социально-экономического развития (рис. 1) [</w:t>
      </w:r>
      <w:r>
        <w:rPr>
          <w:color w:val="000000"/>
          <w:lang w:eastAsia="ru-RU"/>
        </w:rPr>
        <w:t>Иванов, 2006а; Иванов, 2006б; Федеральная служба государственной статистики, 2022</w:t>
      </w:r>
      <w:r>
        <w:t>].</w:t>
      </w:r>
    </w:p>
    <w:p w:rsidR="006F5FC0" w:rsidRDefault="006F5FC0">
      <w:pPr>
        <w:pStyle w:val="a9"/>
        <w:spacing w:line="288" w:lineRule="auto"/>
        <w:ind w:firstLine="567"/>
      </w:pPr>
    </w:p>
    <w:p w:rsidR="006F5FC0" w:rsidRDefault="007B163E">
      <w:pPr>
        <w:pStyle w:val="a9"/>
        <w:spacing w:line="288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905125" cy="240982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FC0" w:rsidRDefault="007B163E">
      <w:pPr>
        <w:pStyle w:val="a9"/>
        <w:spacing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Рисунок 1. Механизм трансформации акустических колебаний инфразвукового </w:t>
      </w:r>
      <w:r>
        <w:rPr>
          <w:sz w:val="20"/>
          <w:szCs w:val="20"/>
        </w:rPr>
        <w:t>диапазона в вариации компонент геомагнитного поля</w:t>
      </w:r>
    </w:p>
    <w:p w:rsidR="006F5FC0" w:rsidRDefault="006F5FC0">
      <w:pPr>
        <w:pStyle w:val="a9"/>
        <w:spacing w:line="288" w:lineRule="auto"/>
      </w:pPr>
    </w:p>
    <w:p w:rsidR="006F5FC0" w:rsidRDefault="007B163E">
      <w:pPr>
        <w:pStyle w:val="a9"/>
        <w:spacing w:line="288" w:lineRule="auto"/>
        <w:ind w:firstLine="567"/>
      </w:pPr>
      <w:r>
        <w:t>Схематически данный механизм можно представить в следующем виде:</w:t>
      </w:r>
    </w:p>
    <w:p w:rsidR="006F5FC0" w:rsidRDefault="007B163E">
      <w:pPr>
        <w:pStyle w:val="a9"/>
        <w:spacing w:line="288" w:lineRule="auto"/>
        <w:jc w:val="center"/>
      </w:pPr>
      <w:r>
        <w:tab/>
      </w:r>
      <w:r>
        <w:tab/>
      </w:r>
      <w:r>
        <w:tab/>
      </w: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5" o:spid="_x0000_s1037" type="#_x0000_t75" style="position:absolute;left:0;text-align:left;margin-left:0;margin-top:0;width:50pt;height:50pt;z-index:251655168;visibility:hidden;mso-position-horizontal-relative:text;mso-position-vertical-relative:text">
            <o:lock v:ext="edit" selection="t"/>
          </v:shape>
        </w:pict>
      </w:r>
      <w:r>
        <w:object w:dxaOrig="3310" w:dyaOrig="411">
          <v:shape id="ole_rId5" o:spid="_x0000_i1025" type="#_x0000_t75" style="width:165.1pt;height:21.1pt;visibility:visible;mso-wrap-distance-right:0" o:ole="">
            <v:imagedata r:id="rId6" o:title=""/>
          </v:shape>
          <o:OLEObject Type="Embed" ProgID="Equation.DSMT4" ShapeID="ole_rId5" DrawAspect="Content" ObjectID="_1780953159" r:id="rId7"/>
        </w:object>
      </w:r>
      <w:r>
        <w:tab/>
      </w:r>
      <w:r>
        <w:tab/>
      </w:r>
      <w:r>
        <w:tab/>
      </w:r>
      <w:r>
        <w:tab/>
        <w:t>(1)</w:t>
      </w:r>
    </w:p>
    <w:p w:rsidR="006F5FC0" w:rsidRDefault="007B163E">
      <w:pPr>
        <w:pStyle w:val="a9"/>
        <w:spacing w:line="288" w:lineRule="auto"/>
      </w:pPr>
      <w:proofErr w:type="gramStart"/>
      <w:r>
        <w:lastRenderedPageBreak/>
        <w:t xml:space="preserve">где </w:t>
      </w:r>
      <w:r>
        <w:pict>
          <v:shape id="shapetype_ole_rId7" o:spid="_x0000_s1035" type="#_x0000_t75" style="position:absolute;left:0;text-align:left;margin-left:0;margin-top:0;width:50pt;height:50pt;z-index:251656192;visibility:hidden;mso-position-horizontal-relative:text;mso-position-vertical-relative:text">
            <o:lock v:ext="edit" selection="t"/>
          </v:shape>
        </w:pict>
      </w:r>
      <w:r>
        <w:object w:dxaOrig="374" w:dyaOrig="262">
          <v:shape id="ole_rId7" o:spid="_x0000_i1026" type="#_x0000_t75" style="width:18.6pt;height:13.65pt;visibility:visible;mso-wrap-distance-right:0" o:ole="">
            <v:imagedata r:id="rId8" o:title=""/>
          </v:shape>
          <o:OLEObject Type="Embed" ProgID="Equation.DSMT4" ShapeID="ole_rId7" DrawAspect="Content" ObjectID="_1780953160" r:id="rId9"/>
        </w:object>
      </w:r>
      <w:r>
        <w:t> –</w:t>
      </w:r>
      <w:proofErr w:type="gramEnd"/>
      <w:r>
        <w:t xml:space="preserve"> амплитуда акустических колебаний инфразвукового диапазона, </w:t>
      </w:r>
      <w:r>
        <w:pict>
          <v:shape id="shapetype_ole_rId9" o:spid="_x0000_s1033" type="#_x0000_t75" style="position:absolute;left:0;text-align:left;margin-left:0;margin-top:0;width:50pt;height:50pt;z-index:251657216;visibility:hidden;mso-position-horizontal-relative:text;mso-position-vertical-relative:text">
            <o:lock v:ext="edit" selection="t"/>
          </v:shape>
        </w:pict>
      </w:r>
      <w:r>
        <w:object w:dxaOrig="486" w:dyaOrig="374">
          <v:shape id="ole_rId9" o:spid="_x0000_i1027" type="#_x0000_t75" style="width:24.85pt;height:18.6pt;visibility:visible;mso-wrap-distance-right:0" o:ole="">
            <v:imagedata r:id="rId10" o:title=""/>
          </v:shape>
          <o:OLEObject Type="Embed" ProgID="Equation.DSMT4" ShapeID="ole_rId9" DrawAspect="Content" ObjectID="_1780953161" r:id="rId11"/>
        </w:object>
      </w:r>
      <w:r>
        <w:t xml:space="preserve"> – амплитуда колебаний электронной и ионной концентрации, </w:t>
      </w:r>
      <w:r>
        <w:pict>
          <v:shape id="shapetype_ole_rId11" o:spid="_x0000_s1031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767" w:dyaOrig="374">
          <v:shape id="ole_rId11" o:spid="_x0000_i1028" type="#_x0000_t75" style="width:38.5pt;height:18.6pt;visibility:visible;mso-wrap-distance-right:0" o:ole="">
            <v:imagedata r:id="rId12" o:title=""/>
          </v:shape>
          <o:OLEObject Type="Embed" ProgID="Equation.DSMT4" ShapeID="ole_rId11" DrawAspect="Content" ObjectID="_1780953162" r:id="rId13"/>
        </w:object>
      </w:r>
      <w:r>
        <w:t xml:space="preserve"> – амплитуда колебаний проводимостей (продольной, </w:t>
      </w:r>
      <w:proofErr w:type="spellStart"/>
      <w:r>
        <w:t>педерсеновской</w:t>
      </w:r>
      <w:proofErr w:type="spellEnd"/>
      <w:r>
        <w:t xml:space="preserve"> и </w:t>
      </w:r>
      <w:proofErr w:type="spellStart"/>
      <w:r>
        <w:t>холовской</w:t>
      </w:r>
      <w:proofErr w:type="spellEnd"/>
      <w:r>
        <w:t xml:space="preserve">), </w:t>
      </w:r>
      <w:r>
        <w:pict>
          <v:shape id="shapetype_ole_rId13" o:spid="_x0000_s1029" type="#_x0000_t75" style="position:absolute;left:0;text-align:left;margin-left:0;margin-top:0;width:50pt;height:50pt;z-index:251659264;visibility:hidden;mso-position-horizontal-relative:text;mso-position-vertical-relative:text">
            <o:lock v:ext="edit" selection="t"/>
          </v:shape>
        </w:pict>
      </w:r>
      <w:r>
        <w:object w:dxaOrig="318" w:dyaOrig="374">
          <v:shape id="ole_rId13" o:spid="_x0000_i1029" type="#_x0000_t75" style="width:16.15pt;height:18.6pt;visibility:visible;mso-wrap-distance-right:0" o:ole="">
            <v:imagedata r:id="rId14" o:title=""/>
          </v:shape>
          <o:OLEObject Type="Embed" ProgID="Equation.DSMT4" ShapeID="ole_rId13" DrawAspect="Content" ObjectID="_1780953163" r:id="rId15"/>
        </w:object>
      </w:r>
      <w:r>
        <w:t xml:space="preserve"> – амплитуда колебаний ионосферных токов, </w:t>
      </w:r>
      <w:r>
        <w:pict>
          <v:shape id="shapetype_ole_rId15" o:spid="_x0000_s1027" type="#_x0000_t75" style="position:absolute;left:0;text-align:left;margin-left:0;margin-top:0;width:50pt;height:50pt;z-index:251660288;visibility:hidden;mso-position-horizontal-relative:text;mso-position-vertical-relative:text">
            <o:lock v:ext="edit" selection="t"/>
          </v:shape>
        </w:pict>
      </w:r>
      <w:r>
        <w:object w:dxaOrig="374" w:dyaOrig="318">
          <v:shape id="ole_rId15" o:spid="_x0000_i1030" type="#_x0000_t75" style="width:18.6pt;height:16.15pt;visibility:visible;mso-wrap-distance-right:0" o:ole="">
            <v:imagedata r:id="rId16" o:title=""/>
          </v:shape>
          <o:OLEObject Type="Embed" ProgID="Equation.DSMT4" ShapeID="ole_rId15" DrawAspect="Content" ObjectID="_1780953164" r:id="rId17"/>
        </w:object>
      </w:r>
      <w:r>
        <w:t> – амплитуда колебаний индукции геомагнитного поля.</w:t>
      </w:r>
    </w:p>
    <w:p w:rsidR="006F5FC0" w:rsidRDefault="007B163E">
      <w:pPr>
        <w:pStyle w:val="a9"/>
        <w:spacing w:line="288" w:lineRule="auto"/>
        <w:ind w:firstLine="567"/>
      </w:pPr>
      <w:r>
        <w:t>Данные приведены в таблице 1.</w:t>
      </w:r>
    </w:p>
    <w:p w:rsidR="006F5FC0" w:rsidRDefault="006F5FC0">
      <w:pPr>
        <w:pStyle w:val="a9"/>
        <w:spacing w:line="288" w:lineRule="auto"/>
        <w:ind w:firstLine="567"/>
      </w:pPr>
    </w:p>
    <w:p w:rsidR="006F5FC0" w:rsidRDefault="007B163E">
      <w:pPr>
        <w:pStyle w:val="a9"/>
        <w:spacing w:line="288" w:lineRule="auto"/>
        <w:jc w:val="right"/>
        <w:rPr>
          <w:i/>
          <w:iCs/>
        </w:rPr>
      </w:pPr>
      <w:r>
        <w:rPr>
          <w:i/>
          <w:iCs/>
        </w:rPr>
        <w:t>Таблица 1</w:t>
      </w:r>
    </w:p>
    <w:p w:rsidR="006F5FC0" w:rsidRDefault="007B163E">
      <w:pPr>
        <w:pStyle w:val="a9"/>
        <w:spacing w:line="288" w:lineRule="auto"/>
        <w:jc w:val="center"/>
        <w:rPr>
          <w:b/>
          <w:bCs/>
        </w:rPr>
      </w:pPr>
      <w:r>
        <w:rPr>
          <w:b/>
          <w:bCs/>
        </w:rPr>
        <w:t>Название таблицы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6F5FC0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C0" w:rsidRDefault="006F5FC0">
            <w:pPr>
              <w:pStyle w:val="a9"/>
              <w:widowControl w:val="0"/>
              <w:spacing w:line="288" w:lineRule="auto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C0" w:rsidRDefault="006F5FC0">
            <w:pPr>
              <w:pStyle w:val="a9"/>
              <w:widowControl w:val="0"/>
              <w:spacing w:line="288" w:lineRule="auto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C0" w:rsidRDefault="006F5FC0">
            <w:pPr>
              <w:pStyle w:val="a9"/>
              <w:widowControl w:val="0"/>
              <w:spacing w:line="288" w:lineRule="auto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C0" w:rsidRDefault="006F5FC0">
            <w:pPr>
              <w:pStyle w:val="a9"/>
              <w:widowControl w:val="0"/>
              <w:spacing w:line="288" w:lineRule="auto"/>
            </w:pPr>
          </w:p>
        </w:tc>
      </w:tr>
      <w:tr w:rsidR="006F5FC0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C0" w:rsidRDefault="006F5FC0">
            <w:pPr>
              <w:pStyle w:val="a9"/>
              <w:widowControl w:val="0"/>
              <w:spacing w:line="288" w:lineRule="auto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C0" w:rsidRDefault="006F5FC0">
            <w:pPr>
              <w:pStyle w:val="a9"/>
              <w:widowControl w:val="0"/>
              <w:spacing w:line="288" w:lineRule="auto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C0" w:rsidRDefault="006F5FC0">
            <w:pPr>
              <w:pStyle w:val="a9"/>
              <w:widowControl w:val="0"/>
              <w:spacing w:line="288" w:lineRule="auto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C0" w:rsidRDefault="006F5FC0">
            <w:pPr>
              <w:pStyle w:val="a9"/>
              <w:widowControl w:val="0"/>
              <w:spacing w:line="288" w:lineRule="auto"/>
            </w:pPr>
          </w:p>
        </w:tc>
      </w:tr>
      <w:tr w:rsidR="006F5FC0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C0" w:rsidRDefault="006F5FC0">
            <w:pPr>
              <w:pStyle w:val="a9"/>
              <w:widowControl w:val="0"/>
              <w:spacing w:line="288" w:lineRule="auto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C0" w:rsidRDefault="006F5FC0">
            <w:pPr>
              <w:pStyle w:val="a9"/>
              <w:widowControl w:val="0"/>
              <w:spacing w:line="288" w:lineRule="auto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C0" w:rsidRDefault="006F5FC0">
            <w:pPr>
              <w:pStyle w:val="a9"/>
              <w:widowControl w:val="0"/>
              <w:spacing w:line="288" w:lineRule="auto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C0" w:rsidRDefault="006F5FC0">
            <w:pPr>
              <w:pStyle w:val="a9"/>
              <w:widowControl w:val="0"/>
              <w:spacing w:line="288" w:lineRule="auto"/>
            </w:pPr>
          </w:p>
        </w:tc>
      </w:tr>
    </w:tbl>
    <w:p w:rsidR="006F5FC0" w:rsidRDefault="006F5FC0">
      <w:pPr>
        <w:pStyle w:val="a9"/>
        <w:spacing w:line="288" w:lineRule="auto"/>
      </w:pPr>
    </w:p>
    <w:p w:rsidR="006F5FC0" w:rsidRDefault="007B163E">
      <w:pPr>
        <w:pStyle w:val="a9"/>
        <w:spacing w:line="288" w:lineRule="auto"/>
      </w:pPr>
      <w:r>
        <w:rPr>
          <w:i/>
          <w:iCs/>
        </w:rPr>
        <w:t xml:space="preserve">Работа выполнена в рамках государственного задания (номер </w:t>
      </w:r>
      <w:proofErr w:type="spellStart"/>
      <w:r>
        <w:rPr>
          <w:i/>
          <w:iCs/>
        </w:rPr>
        <w:t>госрегистрации</w:t>
      </w:r>
      <w:proofErr w:type="spellEnd"/>
      <w:r>
        <w:rPr>
          <w:i/>
          <w:iCs/>
        </w:rPr>
        <w:t xml:space="preserve"> № 122011700182-1).</w:t>
      </w:r>
    </w:p>
    <w:p w:rsidR="006F5FC0" w:rsidRDefault="006F5FC0">
      <w:pPr>
        <w:spacing w:line="288" w:lineRule="auto"/>
        <w:jc w:val="both"/>
        <w:rPr>
          <w:color w:val="000000"/>
          <w:lang w:eastAsia="ru-RU"/>
        </w:rPr>
      </w:pPr>
    </w:p>
    <w:p w:rsidR="006F5FC0" w:rsidRDefault="007B163E">
      <w:p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6F5FC0" w:rsidRDefault="007B163E">
      <w:pPr>
        <w:numPr>
          <w:ilvl w:val="0"/>
          <w:numId w:val="3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Cadwallader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M.T. Migration and Residential Mobility: Macro and Micro Approaches. Madison, Wis.: University of Wisconsin Press. 1992. 150 p.</w:t>
      </w:r>
    </w:p>
    <w:p w:rsidR="006F5FC0" w:rsidRDefault="007B163E">
      <w:pPr>
        <w:numPr>
          <w:ilvl w:val="0"/>
          <w:numId w:val="3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Pandit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K. Cohort and Period Effects in U.S. Migration: How Demographic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Economics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Cycle Influence the Migration S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chedule // Annals of the Association of American Geographers. 1997. Vol. 3, № 87. P. 439–450.</w:t>
      </w:r>
    </w:p>
    <w:p w:rsidR="006F5FC0" w:rsidRDefault="007B163E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Алешковский И.А. Внутренняя миграция населения в современной России. – М.: ТЕИС. 2007. 230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5FC0" w:rsidRDefault="007B163E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Иванов И.А., Иванов В.А. Детерминанты внутренней миграция населения в современной России // Вестник Московского университета. Серия 6, Экономика. 2006. №2.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18-23.</w:t>
      </w:r>
    </w:p>
    <w:p w:rsidR="006F5FC0" w:rsidRDefault="007B163E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Иванов И.А. Детерминанты внутренней миграция населения: анализ отечественных и зарубежных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исследований / Под ред. проф. В.А.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Ионцева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М.: Макс Пресс. 2006.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300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6F5FC0" w:rsidRDefault="007B163E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Федеральная служба государственной статистики. 2022.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https://rosstat.gov.ru/ (дата обращения: 26.05.2022).</w:t>
      </w:r>
    </w:p>
    <w:p w:rsidR="006F5FC0" w:rsidRDefault="006F5FC0">
      <w:pPr>
        <w:spacing w:line="288" w:lineRule="auto"/>
        <w:jc w:val="both"/>
        <w:rPr>
          <w:color w:val="000000"/>
          <w:lang w:eastAsia="ru-RU"/>
        </w:rPr>
      </w:pPr>
    </w:p>
    <w:p w:rsidR="006F5FC0" w:rsidRDefault="006F5FC0">
      <w:pPr>
        <w:spacing w:line="288" w:lineRule="auto"/>
        <w:jc w:val="both"/>
        <w:rPr>
          <w:color w:val="000000"/>
          <w:lang w:eastAsia="ru-RU"/>
        </w:rPr>
      </w:pPr>
    </w:p>
    <w:p w:rsidR="006F5FC0" w:rsidRDefault="006F5FC0">
      <w:pPr>
        <w:pStyle w:val="a9"/>
        <w:spacing w:line="360" w:lineRule="auto"/>
        <w:jc w:val="center"/>
        <w:rPr>
          <w:rFonts w:cs="Times New Roman"/>
          <w:b/>
          <w:bCs/>
          <w:szCs w:val="24"/>
        </w:rPr>
      </w:pPr>
    </w:p>
    <w:p w:rsidR="006F5FC0" w:rsidRDefault="006F5FC0">
      <w:pPr>
        <w:pStyle w:val="a9"/>
        <w:spacing w:line="360" w:lineRule="auto"/>
        <w:rPr>
          <w:rFonts w:cs="Times New Roman"/>
          <w:szCs w:val="24"/>
        </w:rPr>
      </w:pPr>
    </w:p>
    <w:p w:rsidR="006F5FC0" w:rsidRDefault="006F5FC0"/>
    <w:sectPr w:rsidR="006F5FC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266C"/>
    <w:multiLevelType w:val="multilevel"/>
    <w:tmpl w:val="613A4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D955F3"/>
    <w:multiLevelType w:val="multilevel"/>
    <w:tmpl w:val="161E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EF4302"/>
    <w:multiLevelType w:val="multilevel"/>
    <w:tmpl w:val="EEB65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DA92B89"/>
    <w:multiLevelType w:val="multilevel"/>
    <w:tmpl w:val="BDD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C0"/>
    <w:rsid w:val="006F5FC0"/>
    <w:rsid w:val="007B163E"/>
    <w:rsid w:val="00B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0E2E5DD2-FBD2-4E82-AF5A-8C1D7BC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36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й стандарт Знак"/>
    <w:basedOn w:val="a0"/>
    <w:qFormat/>
    <w:rsid w:val="00EA0F36"/>
    <w:rPr>
      <w:rFonts w:ascii="Times New Roman" w:hAnsi="Times New Roman"/>
      <w:sz w:val="24"/>
    </w:rPr>
  </w:style>
  <w:style w:type="character" w:customStyle="1" w:styleId="-">
    <w:name w:val="Интернет-ссылка"/>
    <w:basedOn w:val="a0"/>
    <w:uiPriority w:val="99"/>
    <w:unhideWhenUsed/>
    <w:rsid w:val="00EA0F36"/>
    <w:rPr>
      <w:color w:val="0563C1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a9">
    <w:name w:val="Мой стандарт"/>
    <w:basedOn w:val="a"/>
    <w:qFormat/>
    <w:rsid w:val="00EA0F3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ИКФИА СО РАН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Мохначевская Валентина Петровна</dc:creator>
  <dc:description/>
  <cp:lastModifiedBy>user</cp:lastModifiedBy>
  <cp:revision>2</cp:revision>
  <dcterms:created xsi:type="dcterms:W3CDTF">2024-06-26T15:26:00Z</dcterms:created>
  <dcterms:modified xsi:type="dcterms:W3CDTF">2024-06-26T15:26:00Z</dcterms:modified>
  <dc:language>ru-RU</dc:language>
</cp:coreProperties>
</file>